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pStyle w:val="Heading1"/>
        <w:jc w:val="center"/>
      </w:pPr>
      <w:r>
        <w:t>Regulatory Compliance Update</w:t>
      </w:r>
    </w:p>
    <w:p>
      <w:pPr>
        <w:jc w:val="center"/>
      </w:pPr>
      <w:r>
        <w:rPr>
          <w:i/>
          <w:sz w:val="28"/>
        </w:rPr>
        <w:t>FCA Consumer Duty, Operational Resilience &amp; Staff Obligations — Q4 2024</w:t>
      </w:r>
    </w:p>
    <w:p/>
    <w:p>
      <w:pPr>
        <w:jc w:val="center"/>
      </w:pPr>
      <w:r>
        <w:rPr>
          <w:b/>
        </w:rPr>
        <w:t>Compliance Department</w:t>
      </w:r>
    </w:p>
    <w:p>
      <w:pPr>
        <w:jc w:val="center"/>
      </w:pPr>
      <w:r>
        <w:t>October 2024</w:t>
      </w:r>
    </w:p>
    <w:p/>
    <w:p>
      <w:pPr>
        <w:jc w:val="center"/>
      </w:pPr>
      <w:r>
        <w:rPr>
          <w:b/>
          <w:color w:val="C00000"/>
        </w:rPr>
        <w:t>CONFIDENTIAL — FOR INTERNAL USE ONLY</w:t>
      </w:r>
    </w:p>
    <w:p>
      <w:r>
        <w:br w:type="page"/>
      </w:r>
    </w:p>
    <w:p>
      <w:pPr>
        <w:pStyle w:val="Heading1"/>
      </w:pPr>
      <w:r>
        <w:t>Purpose of This Document</w:t>
      </w:r>
    </w:p>
    <w:p>
      <w:r>
        <w:rPr>
          <w:b w:val="0"/>
          <w:i w:val="0"/>
        </w:rPr>
        <w:t>This bulletin sets out the firm's current regulatory obligations under the FCA's Consumer Duty and Operational Resilience frameworks, the actions required from all relevant staff, and the firm's implementation timeline. All staff in client-facing or product roles must read this document and confirm they have done so via the compliance portal by 31 October 2024.</w:t>
      </w:r>
    </w:p>
    <w:p>
      <w:pPr>
        <w:pStyle w:val="Heading1"/>
      </w:pPr>
      <w:r>
        <w:t>1. FCA Consumer Duty — Phase Two</w:t>
      </w:r>
    </w:p>
    <w:p>
      <w:pPr>
        <w:pStyle w:val="Heading2"/>
      </w:pPr>
      <w:r>
        <w:t>1.1 The Four Outcomes</w:t>
      </w:r>
    </w:p>
    <w:p>
      <w:r>
        <w:rPr>
          <w:b w:val="0"/>
          <w:i w:val="0"/>
        </w:rPr>
        <w:t>The Consumer Duty requires firms to deliver good outcomes for retail customers across four areas:</w:t>
      </w:r>
    </w:p>
    <w:p>
      <w:pPr>
        <w:pStyle w:val="ListBullet"/>
        <w:ind w:left="360"/>
      </w:pPr>
      <w:r>
        <w:t>Products &amp; Services: designed to meet the needs of the target market and distributed appropriately.</w:t>
      </w:r>
    </w:p>
    <w:p>
      <w:pPr>
        <w:pStyle w:val="ListBullet"/>
        <w:ind w:left="360"/>
      </w:pPr>
      <w:r>
        <w:t>Price &amp; Value: charges are proportionate to the benefit the customer receives.</w:t>
      </w:r>
    </w:p>
    <w:p>
      <w:pPr>
        <w:pStyle w:val="ListBullet"/>
        <w:ind w:left="360"/>
      </w:pPr>
      <w:r>
        <w:t>Consumer Understanding: communications enable customers to make informed decisions.</w:t>
      </w:r>
    </w:p>
    <w:p>
      <w:pPr>
        <w:pStyle w:val="ListBullet"/>
        <w:ind w:left="360"/>
      </w:pPr>
      <w:r>
        <w:t>Consumer Support: customers can get the help they need, when they need it.</w:t>
      </w:r>
    </w:p>
    <w:p>
      <w:r>
        <w:rPr>
          <w:b w:val="0"/>
          <w:i w:val="0"/>
        </w:rPr>
        <w:t>Phase two extends these requirements to closed-book products with a compliance deadline of 31 July 2024 (now passed). Firms must be able to demonstrate compliance across all product lines — documentation of assessments is mandatory.</w:t>
      </w:r>
    </w:p>
    <w:p>
      <w:pPr>
        <w:pStyle w:val="Heading2"/>
      </w:pPr>
      <w:r>
        <w:t>1.2 Fair Value: What the Firm Must Do by 30 November</w:t>
      </w:r>
    </w:p>
    <w:p>
      <w:r>
        <w:rPr>
          <w:b w:val="0"/>
          <w:i w:val="0"/>
        </w:rPr>
        <w:t>Six products have been identified by the Product Review Committee as requiring enhanced fair value assessment. For each product, the responsible team must produce evidence that the price charged is proportionate to the benefit delivered to the target customer. Where fair value cannot be evidenced, the firm must take action — it is not sufficient to document that the issue has been identified.</w:t>
      </w:r>
    </w:p>
    <w:tbl>
      <w:tblPr>
        <w:tblStyle w:val="TableGrid"/>
        <w:tblW w:type="auto" w:w="0"/>
        <w:tblLook w:firstColumn="1" w:firstRow="1" w:lastColumn="0" w:lastRow="0" w:noHBand="0" w:noVBand="1" w:val="04A0"/>
      </w:tblPr>
      <w:tblGrid>
        <w:gridCol w:w="2160"/>
        <w:gridCol w:w="2160"/>
        <w:gridCol w:w="2160"/>
        <w:gridCol w:w="2160"/>
      </w:tblGrid>
      <w:tr>
        <w:tc>
          <w:tcPr>
            <w:tcW w:type="dxa" w:w="2880"/>
            <w:shd w:val="clear" w:color="auto" w:fill="DEEAF1"/>
          </w:tcPr>
          <w:p>
            <w:r>
              <w:rPr>
                <w:b/>
              </w:rPr>
              <w:t>Product</w:t>
            </w:r>
          </w:p>
        </w:tc>
        <w:tc>
          <w:tcPr>
            <w:tcW w:type="dxa" w:w="2160"/>
            <w:shd w:val="clear" w:color="auto" w:fill="DEEAF1"/>
          </w:tcPr>
          <w:p>
            <w:r>
              <w:rPr>
                <w:b/>
              </w:rPr>
              <w:t>Team</w:t>
            </w:r>
          </w:p>
        </w:tc>
        <w:tc>
          <w:tcPr>
            <w:tcW w:type="dxa" w:w="1728"/>
            <w:shd w:val="clear" w:color="auto" w:fill="DEEAF1"/>
          </w:tcPr>
          <w:p>
            <w:r>
              <w:rPr>
                <w:b/>
              </w:rPr>
              <w:t>Assessment Due</w:t>
            </w:r>
          </w:p>
        </w:tc>
        <w:tc>
          <w:tcPr>
            <w:tcW w:type="dxa" w:w="1872"/>
            <w:shd w:val="clear" w:color="auto" w:fill="DEEAF1"/>
          </w:tcPr>
          <w:p>
            <w:r>
              <w:rPr>
                <w:b/>
              </w:rPr>
              <w:t>Status</w:t>
            </w:r>
          </w:p>
        </w:tc>
      </w:tr>
      <w:tr>
        <w:tc>
          <w:tcPr>
            <w:tcW w:type="dxa" w:w="2880"/>
          </w:tcPr>
          <w:p>
            <w:r>
              <w:t>Retail Fixed Term Deposit</w:t>
            </w:r>
          </w:p>
        </w:tc>
        <w:tc>
          <w:tcPr>
            <w:tcW w:type="dxa" w:w="2160"/>
          </w:tcPr>
          <w:p>
            <w:r>
              <w:t>Savings</w:t>
            </w:r>
          </w:p>
        </w:tc>
        <w:tc>
          <w:tcPr>
            <w:tcW w:type="dxa" w:w="1728"/>
          </w:tcPr>
          <w:p>
            <w:r>
              <w:t>1 November</w:t>
            </w:r>
          </w:p>
        </w:tc>
        <w:tc>
          <w:tcPr>
            <w:tcW w:type="dxa" w:w="1872"/>
          </w:tcPr>
          <w:p>
            <w:r>
              <w:t>In progress</w:t>
            </w:r>
          </w:p>
        </w:tc>
      </w:tr>
      <w:tr>
        <w:tc>
          <w:tcPr>
            <w:tcW w:type="dxa" w:w="2880"/>
          </w:tcPr>
          <w:p>
            <w:r>
              <w:t>SME Current Account Package</w:t>
            </w:r>
          </w:p>
        </w:tc>
        <w:tc>
          <w:tcPr>
            <w:tcW w:type="dxa" w:w="2160"/>
          </w:tcPr>
          <w:p>
            <w:r>
              <w:t>Business Banking</w:t>
            </w:r>
          </w:p>
        </w:tc>
        <w:tc>
          <w:tcPr>
            <w:tcW w:type="dxa" w:w="1728"/>
          </w:tcPr>
          <w:p>
            <w:r>
              <w:t>1 November</w:t>
            </w:r>
          </w:p>
        </w:tc>
        <w:tc>
          <w:tcPr>
            <w:tcW w:type="dxa" w:w="1872"/>
          </w:tcPr>
          <w:p>
            <w:r>
              <w:t>Not started</w:t>
            </w:r>
          </w:p>
        </w:tc>
      </w:tr>
      <w:tr>
        <w:tc>
          <w:tcPr>
            <w:tcW w:type="dxa" w:w="2880"/>
          </w:tcPr>
          <w:p>
            <w:r>
              <w:t>Personal Loan (Standard Rate)</w:t>
            </w:r>
          </w:p>
        </w:tc>
        <w:tc>
          <w:tcPr>
            <w:tcW w:type="dxa" w:w="2160"/>
          </w:tcPr>
          <w:p>
            <w:r>
              <w:t>Consumer Lending</w:t>
            </w:r>
          </w:p>
        </w:tc>
        <w:tc>
          <w:tcPr>
            <w:tcW w:type="dxa" w:w="1728"/>
          </w:tcPr>
          <w:p>
            <w:r>
              <w:t>8 November</w:t>
            </w:r>
          </w:p>
        </w:tc>
        <w:tc>
          <w:tcPr>
            <w:tcW w:type="dxa" w:w="1872"/>
          </w:tcPr>
          <w:p>
            <w:r>
              <w:t>In progress</w:t>
            </w:r>
          </w:p>
        </w:tc>
      </w:tr>
      <w:tr>
        <w:tc>
          <w:tcPr>
            <w:tcW w:type="dxa" w:w="2880"/>
          </w:tcPr>
          <w:p>
            <w:r>
              <w:t>Home Insurance Add-ons</w:t>
            </w:r>
          </w:p>
        </w:tc>
        <w:tc>
          <w:tcPr>
            <w:tcW w:type="dxa" w:w="2160"/>
          </w:tcPr>
          <w:p>
            <w:r>
              <w:t>Insurance</w:t>
            </w:r>
          </w:p>
        </w:tc>
        <w:tc>
          <w:tcPr>
            <w:tcW w:type="dxa" w:w="1728"/>
          </w:tcPr>
          <w:p>
            <w:r>
              <w:t>8 November</w:t>
            </w:r>
          </w:p>
        </w:tc>
        <w:tc>
          <w:tcPr>
            <w:tcW w:type="dxa" w:w="1872"/>
          </w:tcPr>
          <w:p>
            <w:r>
              <w:t>Complete</w:t>
            </w:r>
          </w:p>
        </w:tc>
      </w:tr>
      <w:tr>
        <w:tc>
          <w:tcPr>
            <w:tcW w:type="dxa" w:w="2880"/>
          </w:tcPr>
          <w:p>
            <w:r>
              <w:t>Investment ISA Wrapper</w:t>
            </w:r>
          </w:p>
        </w:tc>
        <w:tc>
          <w:tcPr>
            <w:tcW w:type="dxa" w:w="2160"/>
          </w:tcPr>
          <w:p>
            <w:r>
              <w:t>Investments</w:t>
            </w:r>
          </w:p>
        </w:tc>
        <w:tc>
          <w:tcPr>
            <w:tcW w:type="dxa" w:w="1728"/>
          </w:tcPr>
          <w:p>
            <w:r>
              <w:t>15 November</w:t>
            </w:r>
          </w:p>
        </w:tc>
        <w:tc>
          <w:tcPr>
            <w:tcW w:type="dxa" w:w="1872"/>
          </w:tcPr>
          <w:p>
            <w:r>
              <w:t>In progress</w:t>
            </w:r>
          </w:p>
        </w:tc>
      </w:tr>
      <w:tr>
        <w:tc>
          <w:tcPr>
            <w:tcW w:type="dxa" w:w="2880"/>
          </w:tcPr>
          <w:p>
            <w:r>
              <w:t>Mortgage Protection Policy</w:t>
            </w:r>
          </w:p>
        </w:tc>
        <w:tc>
          <w:tcPr>
            <w:tcW w:type="dxa" w:w="2160"/>
          </w:tcPr>
          <w:p>
            <w:r>
              <w:t>Insurance</w:t>
            </w:r>
          </w:p>
        </w:tc>
        <w:tc>
          <w:tcPr>
            <w:tcW w:type="dxa" w:w="1728"/>
          </w:tcPr>
          <w:p>
            <w:r>
              <w:t>15 November</w:t>
            </w:r>
          </w:p>
        </w:tc>
        <w:tc>
          <w:tcPr>
            <w:tcW w:type="dxa" w:w="1872"/>
          </w:tcPr>
          <w:p>
            <w:r>
              <w:t>Not started</w:t>
            </w:r>
          </w:p>
        </w:tc>
      </w:tr>
    </w:tbl>
    <w:p>
      <w:pPr>
        <w:pStyle w:val="Heading2"/>
      </w:pPr>
      <w:r>
        <w:t>1.3 Vulnerable Customers</w:t>
      </w:r>
    </w:p>
    <w:p>
      <w:r>
        <w:rPr>
          <w:b w:val="0"/>
          <w:i w:val="0"/>
        </w:rPr>
        <w:t>Consumer support under the Duty must meet the needs of customers in vulnerable circumstances. All frontline staff must be able to identify vulnerability indicators and adjust their approach accordingly. The firm's Vulnerability Policy has been updated. Training completion is mandatory by 30 November.</w:t>
      </w:r>
    </w:p>
    <w:p>
      <w:pPr>
        <w:pStyle w:val="Heading1"/>
      </w:pPr>
      <w:r>
        <w:t>2. Operational Resilience — Prove and Demonstrate Phase</w:t>
      </w:r>
    </w:p>
    <w:p>
      <w:r>
        <w:rPr>
          <w:b w:val="0"/>
          <w:i w:val="0"/>
        </w:rPr>
        <w:t>All firms were required to have identified their important business services, set impact tolerances, and mapped their resources and dependencies by March 2022. The FCA's framework now enters the 'prove and demonstrate' phase: firms must evidence that they can remain within their impact tolerances during severe but plausible disruption scenarios. Deadline: March 2025.</w:t>
      </w:r>
    </w:p>
    <w:p>
      <w:pPr>
        <w:pStyle w:val="Heading2"/>
      </w:pPr>
      <w:r>
        <w:t>2.1 Services Requiring Investment</w:t>
      </w:r>
    </w:p>
    <w:tbl>
      <w:tblPr>
        <w:tblStyle w:val="TableGrid"/>
        <w:tblW w:type="auto" w:w="0"/>
        <w:tblLook w:firstColumn="1" w:firstRow="1" w:lastColumn="0" w:lastRow="0" w:noHBand="0" w:noVBand="1" w:val="04A0"/>
      </w:tblPr>
      <w:tblGrid>
        <w:gridCol w:w="2160"/>
        <w:gridCol w:w="2160"/>
        <w:gridCol w:w="2160"/>
        <w:gridCol w:w="2160"/>
      </w:tblGrid>
      <w:tr>
        <w:tc>
          <w:tcPr>
            <w:tcW w:type="dxa" w:w="2880"/>
            <w:shd w:val="clear" w:color="auto" w:fill="DEEAF1"/>
          </w:tcPr>
          <w:p>
            <w:r>
              <w:rPr>
                <w:b/>
              </w:rPr>
              <w:t>Important Business Service</w:t>
            </w:r>
          </w:p>
        </w:tc>
        <w:tc>
          <w:tcPr>
            <w:tcW w:type="dxa" w:w="2160"/>
            <w:shd w:val="clear" w:color="auto" w:fill="DEEAF1"/>
          </w:tcPr>
          <w:p>
            <w:r>
              <w:rPr>
                <w:b/>
              </w:rPr>
              <w:t>Impact Tolerance</w:t>
            </w:r>
          </w:p>
        </w:tc>
        <w:tc>
          <w:tcPr>
            <w:tcW w:type="dxa" w:w="2592"/>
            <w:shd w:val="clear" w:color="auto" w:fill="DEEAF1"/>
          </w:tcPr>
          <w:p>
            <w:r>
              <w:rPr>
                <w:b/>
              </w:rPr>
              <w:t>Current Gap</w:t>
            </w:r>
          </w:p>
        </w:tc>
        <w:tc>
          <w:tcPr>
            <w:tcW w:type="dxa" w:w="2448"/>
            <w:shd w:val="clear" w:color="auto" w:fill="DEEAF1"/>
          </w:tcPr>
          <w:p>
            <w:r>
              <w:rPr>
                <w:b/>
              </w:rPr>
              <w:t>Investment Required</w:t>
            </w:r>
          </w:p>
        </w:tc>
      </w:tr>
      <w:tr>
        <w:tc>
          <w:tcPr>
            <w:tcW w:type="dxa" w:w="2880"/>
          </w:tcPr>
          <w:p>
            <w:r>
              <w:t>Online Banking Platform</w:t>
            </w:r>
          </w:p>
        </w:tc>
        <w:tc>
          <w:tcPr>
            <w:tcW w:type="dxa" w:w="2160"/>
          </w:tcPr>
          <w:p>
            <w:r>
              <w:t>4-hour outage maximum</w:t>
            </w:r>
          </w:p>
        </w:tc>
        <w:tc>
          <w:tcPr>
            <w:tcW w:type="dxa" w:w="2592"/>
          </w:tcPr>
          <w:p>
            <w:r>
              <w:t>Currently 6.5 hours in worst-case</w:t>
            </w:r>
          </w:p>
        </w:tc>
        <w:tc>
          <w:tcPr>
            <w:tcW w:type="dxa" w:w="2448"/>
          </w:tcPr>
          <w:p>
            <w:r>
              <w:t>£340k — cloud failover upgrade</w:t>
            </w:r>
          </w:p>
        </w:tc>
      </w:tr>
      <w:tr>
        <w:tc>
          <w:tcPr>
            <w:tcW w:type="dxa" w:w="2880"/>
          </w:tcPr>
          <w:p>
            <w:r>
              <w:t>Payment Processing</w:t>
            </w:r>
          </w:p>
        </w:tc>
        <w:tc>
          <w:tcPr>
            <w:tcW w:type="dxa" w:w="2160"/>
          </w:tcPr>
          <w:p>
            <w:r>
              <w:t>2-hour outage maximum</w:t>
            </w:r>
          </w:p>
        </w:tc>
        <w:tc>
          <w:tcPr>
            <w:tcW w:type="dxa" w:w="2592"/>
          </w:tcPr>
          <w:p>
            <w:r>
              <w:t>Compliant — evidenced</w:t>
            </w:r>
          </w:p>
        </w:tc>
        <w:tc>
          <w:tcPr>
            <w:tcW w:type="dxa" w:w="2448"/>
          </w:tcPr>
          <w:p>
            <w:r>
              <w:t>None</w:t>
            </w:r>
          </w:p>
        </w:tc>
      </w:tr>
      <w:tr>
        <w:tc>
          <w:tcPr>
            <w:tcW w:type="dxa" w:w="2880"/>
          </w:tcPr>
          <w:p>
            <w:r>
              <w:t>Client Reporting</w:t>
            </w:r>
          </w:p>
        </w:tc>
        <w:tc>
          <w:tcPr>
            <w:tcW w:type="dxa" w:w="2160"/>
          </w:tcPr>
          <w:p>
            <w:r>
              <w:t>24-hour outage maximum</w:t>
            </w:r>
          </w:p>
        </w:tc>
        <w:tc>
          <w:tcPr>
            <w:tcW w:type="dxa" w:w="2592"/>
          </w:tcPr>
          <w:p>
            <w:r>
              <w:t>Currently 31 hours in worst-case</w:t>
            </w:r>
          </w:p>
        </w:tc>
        <w:tc>
          <w:tcPr>
            <w:tcW w:type="dxa" w:w="2448"/>
          </w:tcPr>
          <w:p>
            <w:r>
              <w:t>£180k — backup data pipeline</w:t>
            </w:r>
          </w:p>
        </w:tc>
      </w:tr>
      <w:tr>
        <w:tc>
          <w:tcPr>
            <w:tcW w:type="dxa" w:w="2880"/>
          </w:tcPr>
          <w:p>
            <w:r>
              <w:t>Customer Contact Centre</w:t>
            </w:r>
          </w:p>
        </w:tc>
        <w:tc>
          <w:tcPr>
            <w:tcW w:type="dxa" w:w="2160"/>
          </w:tcPr>
          <w:p>
            <w:r>
              <w:t>8-hour outage maximum</w:t>
            </w:r>
          </w:p>
        </w:tc>
        <w:tc>
          <w:tcPr>
            <w:tcW w:type="dxa" w:w="2592"/>
          </w:tcPr>
          <w:p>
            <w:r>
              <w:t>Currently 11 hours in worst-case</w:t>
            </w:r>
          </w:p>
        </w:tc>
        <w:tc>
          <w:tcPr>
            <w:tcW w:type="dxa" w:w="2448"/>
          </w:tcPr>
          <w:p>
            <w:r>
              <w:t>£95k — remote working capability</w:t>
            </w:r>
          </w:p>
        </w:tc>
      </w:tr>
    </w:tbl>
    <w:p>
      <w:r>
        <w:rPr>
          <w:b/>
          <w:i w:val="0"/>
        </w:rPr>
        <w:t>The Technology team must confirm investment approval and implementation schedule to the Board Risk Committee by November 30. Testing must be documented and available for FCA inspection from March 2025.</w:t>
      </w:r>
    </w:p>
    <w:p>
      <w:pPr>
        <w:pStyle w:val="Heading1"/>
      </w:pPr>
      <w:r>
        <w:t>3. Staff Obligations Summary</w:t>
      </w:r>
    </w:p>
    <w:p>
      <w:r>
        <w:rPr>
          <w:b w:val="0"/>
          <w:i w:val="0"/>
        </w:rPr>
        <w:t>All relevant staff must:</w:t>
      </w:r>
    </w:p>
    <w:p>
      <w:pPr>
        <w:pStyle w:val="ListBullet"/>
        <w:ind w:left="360"/>
      </w:pPr>
      <w:r>
        <w:t>Complete the Consumer Duty refresher training module by 31 October 2024.</w:t>
      </w:r>
    </w:p>
    <w:p>
      <w:pPr>
        <w:pStyle w:val="ListBullet"/>
        <w:ind w:left="360"/>
      </w:pPr>
      <w:r>
        <w:t>Complete the updated Vulnerability Awareness training by 30 November 2024.</w:t>
      </w:r>
    </w:p>
    <w:p>
      <w:pPr>
        <w:pStyle w:val="ListBullet"/>
        <w:ind w:left="360"/>
      </w:pPr>
      <w:r>
        <w:t>Escalate any fair value or consumer support concerns to the Compliance team immediately — do not wait for the formal review cycle.</w:t>
      </w:r>
    </w:p>
    <w:p>
      <w:pPr>
        <w:pStyle w:val="ListBullet"/>
        <w:ind w:left="360"/>
      </w:pPr>
      <w:r>
        <w:t>Document all customer interactions where vulnerability indicators were identified, using the updated case note template.</w:t>
      </w:r>
    </w:p>
    <w:p>
      <w:r>
        <w:rPr>
          <w:b w:val="0"/>
          <w:i/>
        </w:rPr>
        <w:t>Non-completion of mandatory training by the stated deadlines will be reported to line management and may result in restrictions on client-facing activities.</w:t>
      </w:r>
    </w:p>
    <w:p>
      <w:pPr>
        <w:pStyle w:val="Heading1"/>
      </w:pPr>
      <w:r>
        <w:t>4. FCA Supervisory Activity — What to Expect</w:t>
      </w:r>
    </w:p>
    <w:p>
      <w:r>
        <w:rPr>
          <w:b w:val="0"/>
          <w:i w:val="0"/>
        </w:rPr>
        <w:t>The FCA has signalled increased supervisory intensity on Consumer Duty implementation throughout 2024–25. Firms should expect data requests, voluntary requirements, and in some cases on-site visits. All enquiries from the FCA must be directed to the Head of Compliance immediately — no other staff member should correspond with the regulator without prior Compliance involvement.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