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Heading1"/>
        <w:jc w:val="center"/>
      </w:pPr>
      <w:r>
        <w:t>Employee Onboarding Handbook</w:t>
      </w:r>
    </w:p>
    <w:p>
      <w:pPr>
        <w:jc w:val="center"/>
      </w:pPr>
      <w:r>
        <w:rPr>
          <w:i/>
          <w:sz w:val="28"/>
        </w:rPr>
        <w:t>Your Guide to a Confident Start</w:t>
      </w:r>
    </w:p>
    <w:p/>
    <w:p>
      <w:pPr>
        <w:jc w:val="center"/>
      </w:pPr>
      <w:r>
        <w:rPr>
          <w:b/>
        </w:rPr>
        <w:t>People &amp; Culture Team</w:t>
      </w:r>
    </w:p>
    <w:p>
      <w:pPr>
        <w:jc w:val="center"/>
      </w:pPr>
      <w:r>
        <w:t>2024 Edition</w:t>
      </w:r>
    </w:p>
    <w:p>
      <w:r>
        <w:br w:type="page"/>
      </w:r>
    </w:p>
    <w:p>
      <w:pPr>
        <w:pStyle w:val="Heading1"/>
      </w:pPr>
      <w:r>
        <w:t>Welcome</w:t>
      </w:r>
    </w:p>
    <w:p>
      <w:r>
        <w:rPr>
          <w:b w:val="0"/>
          <w:i w:val="0"/>
        </w:rPr>
        <w:t>We're really glad you're here. This handbook covers everything you need for a confident, productive start — from systems access on day one to how we think about feedback and performance. It's not exhaustive, and it's not meant to be. If something isn't covered here, ask. We'd rather you ask ten times than spend a week uncertain about something we could clear up in two minutes.</w:t>
      </w:r>
    </w:p>
    <w:p>
      <w:pPr>
        <w:pStyle w:val="Heading1"/>
      </w:pPr>
      <w:r>
        <w:t>1. Who We Are and How We Work</w:t>
      </w:r>
    </w:p>
    <w:p>
      <w:pPr>
        <w:pStyle w:val="Heading2"/>
      </w:pPr>
      <w:r>
        <w:t>1.1 Our Mission</w:t>
      </w:r>
    </w:p>
    <w:p>
      <w:r>
        <w:rPr>
          <w:b w:val="0"/>
          <w:i w:val="0"/>
        </w:rPr>
        <w:t>Mimr exists to help organisations turn knowledge into learning — faster and more consistently than was previously possible. We're a small, ambitious team that moves quickly, takes quality seriously, and holds ourselves accountable to the outcomes we deliver for clients. Every hire matters here. Your contribution will be visible from week one.</w:t>
      </w:r>
    </w:p>
    <w:p>
      <w:pPr>
        <w:pStyle w:val="Heading2"/>
      </w:pPr>
      <w:r>
        <w:t>1.2 How We Work</w:t>
      </w:r>
    </w:p>
    <w:p>
      <w:r>
        <w:rPr>
          <w:b w:val="0"/>
          <w:i w:val="0"/>
        </w:rPr>
        <w:t>A few things that define how we operate:</w:t>
      </w:r>
    </w:p>
    <w:p>
      <w:pPr>
        <w:pStyle w:val="ListBullet"/>
        <w:ind w:left="360"/>
      </w:pPr>
      <w:r>
        <w:t>We write things down. Decisions, context, and reasoning go in Notion — not just in people's heads.</w:t>
      </w:r>
    </w:p>
    <w:p>
      <w:pPr>
        <w:pStyle w:val="ListBullet"/>
        <w:ind w:left="360"/>
      </w:pPr>
      <w:r>
        <w:t>We default to async. Meetings are for decisions and relationship-building, not for status updates.</w:t>
      </w:r>
    </w:p>
    <w:p>
      <w:pPr>
        <w:pStyle w:val="ListBullet"/>
        <w:ind w:left="360"/>
      </w:pPr>
      <w:r>
        <w:t>We give direct feedback. Early and often — not at performance review.</w:t>
      </w:r>
    </w:p>
    <w:p>
      <w:pPr>
        <w:pStyle w:val="ListBullet"/>
        <w:ind w:left="360"/>
      </w:pPr>
      <w:r>
        <w:t>We ship. Done and iterated is better than perfect and delayed.</w:t>
      </w:r>
    </w:p>
    <w:p>
      <w:pPr>
        <w:pStyle w:val="ListBullet"/>
        <w:ind w:left="360"/>
      </w:pPr>
      <w:r>
        <w:t>We take ownership. If something is yours, you're responsible for it — not your manager.</w:t>
      </w:r>
    </w:p>
    <w:p>
      <w:pPr>
        <w:pStyle w:val="Heading1"/>
      </w:pPr>
      <w:r>
        <w:t>2. Your First Week: What to Do and When</w:t>
      </w:r>
    </w:p>
    <w:p>
      <w:pPr>
        <w:pStyle w:val="Heading2"/>
      </w:pPr>
      <w:r>
        <w:t>2.1 Day One Checklist</w:t>
      </w:r>
    </w:p>
    <w:p>
      <w:r>
        <w:rPr>
          <w:b w:val="0"/>
          <w:i w:val="0"/>
        </w:rPr>
        <w:t>Before the end of your first day:</w:t>
      </w:r>
    </w:p>
    <w:p>
      <w:pPr>
        <w:pStyle w:val="ListBullet"/>
        <w:ind w:left="360"/>
      </w:pPr>
      <w:r>
        <w:t>Confirm all systems access is working — laptop, email, Slack, Notion, 1Password.</w:t>
      </w:r>
    </w:p>
    <w:p>
      <w:pPr>
        <w:pStyle w:val="ListBullet"/>
        <w:ind w:left="360"/>
      </w:pPr>
      <w:r>
        <w:t>Enable two-factor authentication on all accounts.</w:t>
      </w:r>
    </w:p>
    <w:p>
      <w:pPr>
        <w:pStyle w:val="ListBullet"/>
        <w:ind w:left="360"/>
      </w:pPr>
      <w:r>
        <w:t>Read and sign the three core policies: Code of Conduct, Data Protection Policy, and IT Acceptable Use Policy.</w:t>
      </w:r>
    </w:p>
    <w:p>
      <w:pPr>
        <w:pStyle w:val="ListBullet"/>
        <w:ind w:left="360"/>
      </w:pPr>
      <w:r>
        <w:t>Book your 30-day check-in with your line manager.</w:t>
      </w:r>
    </w:p>
    <w:p>
      <w:pPr>
        <w:pStyle w:val="ListBullet"/>
        <w:ind w:left="360"/>
      </w:pPr>
      <w:r>
        <w:t>Read the team handbook section relevant to your department.</w:t>
      </w:r>
    </w:p>
    <w:p>
      <w:r>
        <w:rPr>
          <w:b/>
          <w:i w:val="0"/>
        </w:rPr>
        <w:t>If anything on this list isn't set up by the end of day one, email ops@mimrstudio.com immediately — don't wait.</w:t>
      </w:r>
    </w:p>
    <w:p>
      <w:pPr>
        <w:pStyle w:val="Heading2"/>
      </w:pPr>
      <w:r>
        <w:t>2.2 Week One Priorities</w:t>
      </w:r>
    </w:p>
    <w:tbl>
      <w:tblPr>
        <w:tblStyle w:val="TableGrid"/>
        <w:tblW w:type="auto" w:w="0"/>
        <w:tblLook w:firstColumn="1" w:firstRow="1" w:lastColumn="0" w:lastRow="0" w:noHBand="0" w:noVBand="1" w:val="04A0"/>
      </w:tblPr>
      <w:tblGrid>
        <w:gridCol w:w="2880"/>
        <w:gridCol w:w="2880"/>
        <w:gridCol w:w="2880"/>
      </w:tblGrid>
      <w:tr>
        <w:tc>
          <w:tcPr>
            <w:tcW w:type="dxa" w:w="1440"/>
            <w:shd w:val="clear" w:color="auto" w:fill="DEEAF1"/>
          </w:tcPr>
          <w:p>
            <w:r>
              <w:rPr>
                <w:b/>
              </w:rPr>
              <w:t>Day</w:t>
            </w:r>
          </w:p>
        </w:tc>
        <w:tc>
          <w:tcPr>
            <w:tcW w:type="dxa" w:w="5040"/>
            <w:shd w:val="clear" w:color="auto" w:fill="DEEAF1"/>
          </w:tcPr>
          <w:p>
            <w:r>
              <w:rPr>
                <w:b/>
              </w:rPr>
              <w:t>Priority</w:t>
            </w:r>
          </w:p>
        </w:tc>
        <w:tc>
          <w:tcPr>
            <w:tcW w:type="dxa" w:w="2160"/>
            <w:shd w:val="clear" w:color="auto" w:fill="DEEAF1"/>
          </w:tcPr>
          <w:p>
            <w:r>
              <w:rPr>
                <w:b/>
              </w:rPr>
              <w:t>Owner</w:t>
            </w:r>
          </w:p>
        </w:tc>
      </w:tr>
      <w:tr>
        <w:tc>
          <w:tcPr>
            <w:tcW w:type="dxa" w:w="1440"/>
          </w:tcPr>
          <w:p>
            <w:r>
              <w:t>Monday</w:t>
            </w:r>
          </w:p>
        </w:tc>
        <w:tc>
          <w:tcPr>
            <w:tcW w:type="dxa" w:w="5040"/>
          </w:tcPr>
          <w:p>
            <w:r>
              <w:t>Systems setup, meet your team, read this handbook</w:t>
            </w:r>
          </w:p>
        </w:tc>
        <w:tc>
          <w:tcPr>
            <w:tcW w:type="dxa" w:w="2160"/>
          </w:tcPr>
          <w:p>
            <w:r>
              <w:t>You + Ops</w:t>
            </w:r>
          </w:p>
        </w:tc>
      </w:tr>
      <w:tr>
        <w:tc>
          <w:tcPr>
            <w:tcW w:type="dxa" w:w="1440"/>
          </w:tcPr>
          <w:p>
            <w:r>
              <w:t>Tuesday</w:t>
            </w:r>
          </w:p>
        </w:tc>
        <w:tc>
          <w:tcPr>
            <w:tcW w:type="dxa" w:w="5040"/>
          </w:tcPr>
          <w:p>
            <w:r>
              <w:t>1:1 with line manager — context, priorities, first 30 days</w:t>
            </w:r>
          </w:p>
        </w:tc>
        <w:tc>
          <w:tcPr>
            <w:tcW w:type="dxa" w:w="2160"/>
          </w:tcPr>
          <w:p>
            <w:r>
              <w:t>You + Manager</w:t>
            </w:r>
          </w:p>
        </w:tc>
      </w:tr>
      <w:tr>
        <w:tc>
          <w:tcPr>
            <w:tcW w:type="dxa" w:w="1440"/>
          </w:tcPr>
          <w:p>
            <w:r>
              <w:t>Wednesday</w:t>
            </w:r>
          </w:p>
        </w:tc>
        <w:tc>
          <w:tcPr>
            <w:tcW w:type="dxa" w:w="5040"/>
          </w:tcPr>
          <w:p>
            <w:r>
              <w:t>Meet the wider team — 15-min intros with 3–4 colleagues</w:t>
            </w:r>
          </w:p>
        </w:tc>
        <w:tc>
          <w:tcPr>
            <w:tcW w:type="dxa" w:w="2160"/>
          </w:tcPr>
          <w:p>
            <w:r>
              <w:t>You</w:t>
            </w:r>
          </w:p>
        </w:tc>
      </w:tr>
      <w:tr>
        <w:tc>
          <w:tcPr>
            <w:tcW w:type="dxa" w:w="1440"/>
          </w:tcPr>
          <w:p>
            <w:r>
              <w:t>Thursday</w:t>
            </w:r>
          </w:p>
        </w:tc>
        <w:tc>
          <w:tcPr>
            <w:tcW w:type="dxa" w:w="5040"/>
          </w:tcPr>
          <w:p>
            <w:r>
              <w:t>First project briefing — understand what you're working on and why</w:t>
            </w:r>
          </w:p>
        </w:tc>
        <w:tc>
          <w:tcPr>
            <w:tcW w:type="dxa" w:w="2160"/>
          </w:tcPr>
          <w:p>
            <w:r>
              <w:t>You + Manager</w:t>
            </w:r>
          </w:p>
        </w:tc>
      </w:tr>
      <w:tr>
        <w:tc>
          <w:tcPr>
            <w:tcW w:type="dxa" w:w="1440"/>
          </w:tcPr>
          <w:p>
            <w:r>
              <w:t>Friday</w:t>
            </w:r>
          </w:p>
        </w:tc>
        <w:tc>
          <w:tcPr>
            <w:tcW w:type="dxa" w:w="5040"/>
          </w:tcPr>
          <w:p>
            <w:r>
              <w:t>Reflection: what do you know? What don't you? Write it down.</w:t>
            </w:r>
          </w:p>
        </w:tc>
        <w:tc>
          <w:tcPr>
            <w:tcW w:type="dxa" w:w="2160"/>
          </w:tcPr>
          <w:p>
            <w:r>
              <w:t>You</w:t>
            </w:r>
          </w:p>
        </w:tc>
      </w:tr>
    </w:tbl>
    <w:p>
      <w:pPr>
        <w:pStyle w:val="Heading1"/>
      </w:pPr>
      <w:r>
        <w:t>3. The 90-Day Onboarding Framework</w:t>
      </w:r>
    </w:p>
    <w:p>
      <w:r>
        <w:rPr>
          <w:b w:val="0"/>
          <w:i w:val="0"/>
        </w:rPr>
        <w:t>Your first 90 days are structured in three phases. The pace is intentional — we want you to build context before you build output.</w:t>
      </w:r>
    </w:p>
    <w:p>
      <w:pPr>
        <w:pStyle w:val="Heading2"/>
      </w:pPr>
      <w:r>
        <w:t>Days 1–30: Listen and Learn</w:t>
      </w:r>
    </w:p>
    <w:p>
      <w:r>
        <w:rPr>
          <w:b w:val="0"/>
          <w:i w:val="0"/>
        </w:rPr>
        <w:t>Your job in the first month is to understand — the business, your team, your clients, and the problems you've been hired to help solve. Resist the urge to fix things before you understand why they are the way they are. Ask questions. Take notes. Meet people.</w:t>
      </w:r>
    </w:p>
    <w:p>
      <w:r>
        <w:rPr>
          <w:b w:val="0"/>
          <w:i/>
        </w:rPr>
        <w:t>Your 30-day deliverable: a written context document — what you've learned, what's unclear, and what you think you can contribute. Shared with your manager at the 30-day check-in.</w:t>
      </w:r>
    </w:p>
    <w:p>
      <w:pPr>
        <w:pStyle w:val="Heading2"/>
      </w:pPr>
      <w:r>
        <w:t>Days 31–60: Contribute Independently</w:t>
      </w:r>
    </w:p>
    <w:p>
      <w:r>
        <w:rPr>
          <w:b w:val="0"/>
          <w:i w:val="0"/>
        </w:rPr>
        <w:t>In month two, you move from learning to doing. You should be taking on independent work, making decisions within your remit, and starting to develop your own point of view on the work. Your manager is available but you should be driving your own agenda.</w:t>
      </w:r>
    </w:p>
    <w:p>
      <w:r>
        <w:rPr>
          <w:b w:val="0"/>
          <w:i/>
        </w:rPr>
        <w:t>Your 60-day deliverable: at least one completed piece of work that you owned end-to-end. Presented at the 60-day check-in.</w:t>
      </w:r>
    </w:p>
    <w:p>
      <w:pPr>
        <w:pStyle w:val="Heading2"/>
      </w:pPr>
      <w:r>
        <w:t>Days 61–90: Agree Objectives for Q1</w:t>
      </w:r>
    </w:p>
    <w:p>
      <w:r>
        <w:rPr>
          <w:b w:val="0"/>
          <w:i w:val="0"/>
        </w:rPr>
        <w:t>In month three, you and your manager agree your objectives for the next quarter. These should be specific, measurable, and realistic given what you now know about the role. The 90-day check-in formalises this.</w:t>
      </w:r>
    </w:p>
    <w:p>
      <w:pPr>
        <w:pStyle w:val="Heading1"/>
      </w:pPr>
      <w:r>
        <w:t>4. Policies You Must Know</w:t>
      </w:r>
    </w:p>
    <w:p>
      <w:pPr>
        <w:pStyle w:val="Heading2"/>
      </w:pPr>
      <w:r>
        <w:t>4.1 Data Protection</w:t>
      </w:r>
    </w:p>
    <w:p>
      <w:r>
        <w:rPr>
          <w:b w:val="0"/>
          <w:i w:val="0"/>
        </w:rPr>
        <w:t>We process personal data relating to clients, employees, and suppliers. You must not share, store, or process personal data outside of approved systems. If you receive a data subject request or become aware of a potential data breach, contact the Data Protection lead immediately — do not attempt to handle it yourself.</w:t>
      </w:r>
    </w:p>
    <w:p>
      <w:pPr>
        <w:pStyle w:val="Heading2"/>
      </w:pPr>
      <w:r>
        <w:t>4.2 Code of Conduct</w:t>
      </w:r>
    </w:p>
    <w:p>
      <w:r>
        <w:rPr>
          <w:b w:val="0"/>
          <w:i w:val="0"/>
        </w:rPr>
        <w:t>We expect everyone to treat colleagues, clients, and partners with respect. Bullying, harassment, and discrimination have no place here. If you experience or witness any of this, report it to your manager or HR — or use the anonymous speak-up channel if you prefer.</w:t>
      </w:r>
    </w:p>
    <w:p>
      <w:pPr>
        <w:pStyle w:val="Heading2"/>
      </w:pPr>
      <w:r>
        <w:t>4.3 Expenses</w:t>
      </w:r>
    </w:p>
    <w:p>
      <w:r>
        <w:rPr>
          <w:b w:val="0"/>
          <w:i w:val="0"/>
        </w:rPr>
        <w:t>Reasonable business expenses are reimbursed within 30 days of submission. Submit via the expenses portal with a receipt. Anything over £100 requires prior approval from your manager.</w:t>
      </w:r>
    </w:p>
    <w:p>
      <w:pPr>
        <w:pStyle w:val="Heading1"/>
      </w:pPr>
      <w:r>
        <w:t>5. Who to Go To</w:t>
      </w:r>
    </w:p>
    <w:tbl>
      <w:tblPr>
        <w:tblStyle w:val="TableGrid"/>
        <w:tblW w:type="auto" w:w="0"/>
        <w:tblLook w:firstColumn="1" w:firstRow="1" w:lastColumn="0" w:lastRow="0" w:noHBand="0" w:noVBand="1" w:val="04A0"/>
      </w:tblPr>
      <w:tblGrid>
        <w:gridCol w:w="4320"/>
        <w:gridCol w:w="4320"/>
      </w:tblGrid>
      <w:tr>
        <w:tc>
          <w:tcPr>
            <w:tcW w:type="dxa" w:w="3600"/>
            <w:shd w:val="clear" w:color="auto" w:fill="DEEAF1"/>
          </w:tcPr>
          <w:p>
            <w:r>
              <w:rPr>
                <w:b/>
              </w:rPr>
              <w:t>Need</w:t>
            </w:r>
          </w:p>
        </w:tc>
        <w:tc>
          <w:tcPr>
            <w:tcW w:type="dxa" w:w="5040"/>
            <w:shd w:val="clear" w:color="auto" w:fill="DEEAF1"/>
          </w:tcPr>
          <w:p>
            <w:r>
              <w:rPr>
                <w:b/>
              </w:rPr>
              <w:t>Contact</w:t>
            </w:r>
          </w:p>
        </w:tc>
      </w:tr>
      <w:tr>
        <w:tc>
          <w:tcPr>
            <w:tcW w:type="dxa" w:w="3600"/>
          </w:tcPr>
          <w:p>
            <w:r>
              <w:t>IT / systems access</w:t>
            </w:r>
          </w:p>
        </w:tc>
        <w:tc>
          <w:tcPr>
            <w:tcW w:type="dxa" w:w="5040"/>
          </w:tcPr>
          <w:p>
            <w:r>
              <w:t>ops@mimrstudio.com</w:t>
            </w:r>
          </w:p>
        </w:tc>
      </w:tr>
      <w:tr>
        <w:tc>
          <w:tcPr>
            <w:tcW w:type="dxa" w:w="3600"/>
          </w:tcPr>
          <w:p>
            <w:r>
              <w:t>HR / people questions</w:t>
            </w:r>
          </w:p>
        </w:tc>
        <w:tc>
          <w:tcPr>
            <w:tcW w:type="dxa" w:w="5040"/>
          </w:tcPr>
          <w:p>
            <w:r>
              <w:t>people@mimrstudio.com</w:t>
            </w:r>
          </w:p>
        </w:tc>
      </w:tr>
      <w:tr>
        <w:tc>
          <w:tcPr>
            <w:tcW w:type="dxa" w:w="3600"/>
          </w:tcPr>
          <w:p>
            <w:r>
              <w:t>Compliance / legal</w:t>
            </w:r>
          </w:p>
        </w:tc>
        <w:tc>
          <w:tcPr>
            <w:tcW w:type="dxa" w:w="5040"/>
          </w:tcPr>
          <w:p>
            <w:r>
              <w:t>compliance@mimrstudio.com</w:t>
            </w:r>
          </w:p>
        </w:tc>
      </w:tr>
      <w:tr>
        <w:tc>
          <w:tcPr>
            <w:tcW w:type="dxa" w:w="3600"/>
          </w:tcPr>
          <w:p>
            <w:r>
              <w:t>Finance / expenses</w:t>
            </w:r>
          </w:p>
        </w:tc>
        <w:tc>
          <w:tcPr>
            <w:tcW w:type="dxa" w:w="5040"/>
          </w:tcPr>
          <w:p>
            <w:r>
              <w:t>finance@mimrstudio.com</w:t>
            </w:r>
          </w:p>
        </w:tc>
      </w:tr>
      <w:tr>
        <w:tc>
          <w:tcPr>
            <w:tcW w:type="dxa" w:w="3600"/>
          </w:tcPr>
          <w:p>
            <w:r>
              <w:t>Anonymous speak-up</w:t>
            </w:r>
          </w:p>
        </w:tc>
        <w:tc>
          <w:tcPr>
            <w:tcW w:type="dxa" w:w="5040"/>
          </w:tcPr>
          <w:p>
            <w:r>
              <w:t>speak-up channel in Slack (private)</w:t>
            </w:r>
          </w:p>
        </w:tc>
      </w:tr>
    </w:tbl>
    <w:p>
      <w:pPr>
        <w:pStyle w:val="Heading1"/>
      </w:pPr>
      <w:r>
        <w:t>6. You Belong Here</w:t>
      </w:r>
    </w:p>
    <w:p>
      <w:r>
        <w:rPr>
          <w:b w:val="0"/>
          <w:i w:val="0"/>
        </w:rPr>
        <w:t>We hired you because we believe in your contribution. Ask questions, share ideas, disagree when you think we're wrong, and tell us what we can do better. We're building something together. Welcome to Mimr.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