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Heading1"/>
        <w:jc w:val="center"/>
      </w:pPr>
      <w:r>
        <w:t>Q3 2024 Board Report</w:t>
      </w:r>
    </w:p>
    <w:p>
      <w:pPr>
        <w:jc w:val="center"/>
      </w:pPr>
      <w:r>
        <w:rPr>
          <w:i/>
          <w:sz w:val="28"/>
        </w:rPr>
        <w:t>Portfolio Performance, Risk Review &amp; Strategic Priorities</w:t>
      </w:r>
    </w:p>
    <w:p/>
    <w:p>
      <w:pPr>
        <w:jc w:val="center"/>
      </w:pPr>
      <w:r>
        <w:rPr>
          <w:b/>
        </w:rPr>
        <w:t>Hartwell Capital Management Limited</w:t>
      </w:r>
    </w:p>
    <w:p>
      <w:pPr>
        <w:jc w:val="center"/>
      </w:pPr>
      <w:r>
        <w:t>October 2024</w:t>
      </w:r>
    </w:p>
    <w:p/>
    <w:p>
      <w:pPr>
        <w:jc w:val="center"/>
      </w:pPr>
      <w:r>
        <w:rPr>
          <w:b/>
          <w:color w:val="C00000"/>
        </w:rPr>
        <w:t>CONFIDENTIAL — FOR INTERNAL USE ONLY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The firm delivered a net return of 4.2% across the core equity portfolio in Q3 2024, outperforming the benchmark index by 110 basis points. Performance was driven by strong results in the infrastructure and UK mid-cap allocations, partially offset by weakness in European fixed income. Assets under management closed the quarter at £4.8 billion.</w:t>
      </w:r>
    </w:p>
    <w:p>
      <w:r>
        <w:rPr>
          <w:b w:val="0"/>
          <w:i w:val="0"/>
        </w:rPr>
        <w:t>Three strategic initiatives are presented for board approval at this meeting: the proposed acquisition of a Dublin-based UCITS management company, a technology investment programme for the replacement of the portfolio management system, and the launch of a sustainable infrastructure fund.</w:t>
      </w:r>
    </w:p>
    <w:p>
      <w:r>
        <w:rPr>
          <w:b/>
          <w:i w:val="0"/>
        </w:rPr>
        <w:t>Value at Risk (99% confidence, 1-day): £4.2m against a board limit of £6.0m.</w:t>
      </w:r>
    </w:p>
    <w:p>
      <w:pPr>
        <w:pStyle w:val="Heading1"/>
      </w:pPr>
      <w:r>
        <w:t>2. Portfolio Performance</w:t>
      </w:r>
    </w:p>
    <w:p>
      <w:pPr>
        <w:pStyle w:val="Heading2"/>
      </w:pPr>
      <w:r>
        <w:t>2.1 Q3 Returns by Asset Class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2880"/>
            <w:shd w:val="clear" w:color="auto" w:fill="DEEAF1"/>
          </w:tcPr>
          <w:p>
            <w:r>
              <w:rPr>
                <w:b/>
              </w:rPr>
              <w:t>Asset Class</w:t>
            </w:r>
          </w:p>
        </w:tc>
        <w:tc>
          <w:tcPr>
            <w:tcW w:type="dxa" w:w="1440"/>
            <w:shd w:val="clear" w:color="auto" w:fill="DEEAF1"/>
          </w:tcPr>
          <w:p>
            <w:r>
              <w:rPr>
                <w:b/>
              </w:rPr>
              <w:t>Q3 Return</w:t>
            </w:r>
          </w:p>
        </w:tc>
        <w:tc>
          <w:tcPr>
            <w:tcW w:type="dxa" w:w="1440"/>
            <w:shd w:val="clear" w:color="auto" w:fill="DEEAF1"/>
          </w:tcPr>
          <w:p>
            <w:r>
              <w:rPr>
                <w:b/>
              </w:rPr>
              <w:t>Benchmark</w:t>
            </w:r>
          </w:p>
        </w:tc>
        <w:tc>
          <w:tcPr>
            <w:tcW w:type="dxa" w:w="1440"/>
            <w:shd w:val="clear" w:color="auto" w:fill="DEEAF1"/>
          </w:tcPr>
          <w:p>
            <w:r>
              <w:rPr>
                <w:b/>
              </w:rPr>
              <w:t>Variance</w:t>
            </w:r>
          </w:p>
        </w:tc>
        <w:tc>
          <w:tcPr>
            <w:tcW w:type="dxa" w:w="1440"/>
            <w:shd w:val="clear" w:color="auto" w:fill="DEEAF1"/>
          </w:tcPr>
          <w:p>
            <w:r>
              <w:rPr>
                <w:b/>
              </w:rPr>
              <w:t>AUM (£m)</w:t>
            </w:r>
          </w:p>
        </w:tc>
      </w:tr>
      <w:tr>
        <w:tc>
          <w:tcPr>
            <w:tcW w:type="dxa" w:w="2880"/>
          </w:tcPr>
          <w:p>
            <w:r>
              <w:t>UK Equities (Mid-Cap)</w:t>
            </w:r>
          </w:p>
        </w:tc>
        <w:tc>
          <w:tcPr>
            <w:tcW w:type="dxa" w:w="1440"/>
          </w:tcPr>
          <w:p>
            <w:r>
              <w:t>+6.1%</w:t>
            </w:r>
          </w:p>
        </w:tc>
        <w:tc>
          <w:tcPr>
            <w:tcW w:type="dxa" w:w="1440"/>
          </w:tcPr>
          <w:p>
            <w:r>
              <w:t>+4.8%</w:t>
            </w:r>
          </w:p>
        </w:tc>
        <w:tc>
          <w:tcPr>
            <w:tcW w:type="dxa" w:w="1440"/>
          </w:tcPr>
          <w:p>
            <w:r>
              <w:t>+1.3%</w:t>
            </w:r>
          </w:p>
        </w:tc>
        <w:tc>
          <w:tcPr>
            <w:tcW w:type="dxa" w:w="1440"/>
          </w:tcPr>
          <w:p>
            <w:r>
              <w:t>1,240</w:t>
            </w:r>
          </w:p>
        </w:tc>
      </w:tr>
      <w:tr>
        <w:tc>
          <w:tcPr>
            <w:tcW w:type="dxa" w:w="2880"/>
          </w:tcPr>
          <w:p>
            <w:r>
              <w:t>Infrastructure</w:t>
            </w:r>
          </w:p>
        </w:tc>
        <w:tc>
          <w:tcPr>
            <w:tcW w:type="dxa" w:w="1440"/>
          </w:tcPr>
          <w:p>
            <w:r>
              <w:t>+7.1%</w:t>
            </w:r>
          </w:p>
        </w:tc>
        <w:tc>
          <w:tcPr>
            <w:tcW w:type="dxa" w:w="1440"/>
          </w:tcPr>
          <w:p>
            <w:r>
              <w:t>+5.3%</w:t>
            </w:r>
          </w:p>
        </w:tc>
        <w:tc>
          <w:tcPr>
            <w:tcW w:type="dxa" w:w="1440"/>
          </w:tcPr>
          <w:p>
            <w:r>
              <w:t>+1.8%</w:t>
            </w:r>
          </w:p>
        </w:tc>
        <w:tc>
          <w:tcPr>
            <w:tcW w:type="dxa" w:w="1440"/>
          </w:tcPr>
          <w:p>
            <w:r>
              <w:t>890</w:t>
            </w:r>
          </w:p>
        </w:tc>
      </w:tr>
      <w:tr>
        <w:tc>
          <w:tcPr>
            <w:tcW w:type="dxa" w:w="2880"/>
          </w:tcPr>
          <w:p>
            <w:r>
              <w:t>European Fixed Income</w:t>
            </w:r>
          </w:p>
        </w:tc>
        <w:tc>
          <w:tcPr>
            <w:tcW w:type="dxa" w:w="1440"/>
          </w:tcPr>
          <w:p>
            <w:r>
              <w:t>-0.8%</w:t>
            </w:r>
          </w:p>
        </w:tc>
        <w:tc>
          <w:tcPr>
            <w:tcW w:type="dxa" w:w="1440"/>
          </w:tcPr>
          <w:p>
            <w:r>
              <w:t>+0.2%</w:t>
            </w:r>
          </w:p>
        </w:tc>
        <w:tc>
          <w:tcPr>
            <w:tcW w:type="dxa" w:w="1440"/>
          </w:tcPr>
          <w:p>
            <w:r>
              <w:t>-1.0%</w:t>
            </w:r>
          </w:p>
        </w:tc>
        <w:tc>
          <w:tcPr>
            <w:tcW w:type="dxa" w:w="1440"/>
          </w:tcPr>
          <w:p>
            <w:r>
              <w:t>620</w:t>
            </w:r>
          </w:p>
        </w:tc>
      </w:tr>
      <w:tr>
        <w:tc>
          <w:tcPr>
            <w:tcW w:type="dxa" w:w="2880"/>
          </w:tcPr>
          <w:p>
            <w:r>
              <w:t>Short Duration Gilts</w:t>
            </w:r>
          </w:p>
        </w:tc>
        <w:tc>
          <w:tcPr>
            <w:tcW w:type="dxa" w:w="1440"/>
          </w:tcPr>
          <w:p>
            <w:r>
              <w:t>+1.2%</w:t>
            </w:r>
          </w:p>
        </w:tc>
        <w:tc>
          <w:tcPr>
            <w:tcW w:type="dxa" w:w="1440"/>
          </w:tcPr>
          <w:p>
            <w:r>
              <w:t>+1.1%</w:t>
            </w:r>
          </w:p>
        </w:tc>
        <w:tc>
          <w:tcPr>
            <w:tcW w:type="dxa" w:w="1440"/>
          </w:tcPr>
          <w:p>
            <w:r>
              <w:t>+0.1%</w:t>
            </w:r>
          </w:p>
        </w:tc>
        <w:tc>
          <w:tcPr>
            <w:tcW w:type="dxa" w:w="1440"/>
          </w:tcPr>
          <w:p>
            <w:r>
              <w:t>480</w:t>
            </w:r>
          </w:p>
        </w:tc>
      </w:tr>
      <w:tr>
        <w:tc>
          <w:tcPr>
            <w:tcW w:type="dxa" w:w="2880"/>
          </w:tcPr>
          <w:p>
            <w:r>
              <w:t>Private Credit</w:t>
            </w:r>
          </w:p>
        </w:tc>
        <w:tc>
          <w:tcPr>
            <w:tcW w:type="dxa" w:w="1440"/>
          </w:tcPr>
          <w:p>
            <w:r>
              <w:t>+3.4%</w:t>
            </w:r>
          </w:p>
        </w:tc>
        <w:tc>
          <w:tcPr>
            <w:tcW w:type="dxa" w:w="1440"/>
          </w:tcPr>
          <w:p>
            <w:r>
              <w:t>+3.1%</w:t>
            </w:r>
          </w:p>
        </w:tc>
        <w:tc>
          <w:tcPr>
            <w:tcW w:type="dxa" w:w="1440"/>
          </w:tcPr>
          <w:p>
            <w:r>
              <w:t>+0.3%</w:t>
            </w:r>
          </w:p>
        </w:tc>
        <w:tc>
          <w:tcPr>
            <w:tcW w:type="dxa" w:w="1440"/>
          </w:tcPr>
          <w:p>
            <w:r>
              <w:t>340</w:t>
            </w:r>
          </w:p>
        </w:tc>
      </w:tr>
      <w:tr>
        <w:tc>
          <w:tcPr>
            <w:tcW w:type="dxa" w:w="2880"/>
          </w:tcPr>
          <w:p>
            <w:r>
              <w:t>Total Portfolio</w:t>
            </w:r>
          </w:p>
        </w:tc>
        <w:tc>
          <w:tcPr>
            <w:tcW w:type="dxa" w:w="1440"/>
          </w:tcPr>
          <w:p>
            <w:r>
              <w:t>+4.2%</w:t>
            </w:r>
          </w:p>
        </w:tc>
        <w:tc>
          <w:tcPr>
            <w:tcW w:type="dxa" w:w="1440"/>
          </w:tcPr>
          <w:p>
            <w:r>
              <w:t>+3.1%</w:t>
            </w:r>
          </w:p>
        </w:tc>
        <w:tc>
          <w:tcPr>
            <w:tcW w:type="dxa" w:w="1440"/>
          </w:tcPr>
          <w:p>
            <w:r>
              <w:t>+1.1%</w:t>
            </w:r>
          </w:p>
        </w:tc>
        <w:tc>
          <w:tcPr>
            <w:tcW w:type="dxa" w:w="1440"/>
          </w:tcPr>
          <w:p>
            <w:r>
              <w:t>4,800</w:t>
            </w:r>
          </w:p>
        </w:tc>
      </w:tr>
    </w:tbl>
    <w:p>
      <w:r>
        <w:rPr>
          <w:b w:val="0"/>
          <w:i w:val="0"/>
        </w:rPr>
        <w:t>Currency hedging contributed approximately 0.4% to total return. The investment committee maintained its risk-on positioning in domestic equities while reducing duration exposure in the fixed income sleeve in response to persistent inflationary pressure and Bank of England forward guidance.</w:t>
      </w:r>
    </w:p>
    <w:p>
      <w:pPr>
        <w:pStyle w:val="Heading1"/>
      </w:pPr>
      <w:r>
        <w:t>3. Risk Review</w:t>
      </w:r>
    </w:p>
    <w:p>
      <w:pPr>
        <w:pStyle w:val="Heading2"/>
      </w:pPr>
      <w:r>
        <w:t>3.1 Key Risk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600"/>
            <w:shd w:val="clear" w:color="auto" w:fill="DEEAF1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1728"/>
            <w:shd w:val="clear" w:color="auto" w:fill="DEEAF1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1728"/>
            <w:shd w:val="clear" w:color="auto" w:fill="DEEAF1"/>
          </w:tcPr>
          <w:p>
            <w:r>
              <w:rPr>
                <w:b/>
              </w:rPr>
              <w:t>Limit</w:t>
            </w:r>
          </w:p>
        </w:tc>
        <w:tc>
          <w:tcPr>
            <w:tcW w:type="dxa" w:w="1584"/>
            <w:shd w:val="clear" w:color="auto" w:fill="DEEAF1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3600"/>
          </w:tcPr>
          <w:p>
            <w:r>
              <w:t>Value at Risk (99%, 1-day)</w:t>
            </w:r>
          </w:p>
        </w:tc>
        <w:tc>
          <w:tcPr>
            <w:tcW w:type="dxa" w:w="1728"/>
          </w:tcPr>
          <w:p>
            <w:r>
              <w:t>£4.2m</w:t>
            </w:r>
          </w:p>
        </w:tc>
        <w:tc>
          <w:tcPr>
            <w:tcW w:type="dxa" w:w="1728"/>
          </w:tcPr>
          <w:p>
            <w:r>
              <w:t>£6.0m</w:t>
            </w:r>
          </w:p>
        </w:tc>
        <w:tc>
          <w:tcPr>
            <w:tcW w:type="dxa" w:w="1584"/>
          </w:tcPr>
          <w:p>
            <w:r>
              <w:t>Within limit</w:t>
            </w:r>
          </w:p>
        </w:tc>
      </w:tr>
      <w:tr>
        <w:tc>
          <w:tcPr>
            <w:tcW w:type="dxa" w:w="3600"/>
          </w:tcPr>
          <w:p>
            <w:r>
              <w:t>Liquidity Coverage Ratio</w:t>
            </w:r>
          </w:p>
        </w:tc>
        <w:tc>
          <w:tcPr>
            <w:tcW w:type="dxa" w:w="1728"/>
          </w:tcPr>
          <w:p>
            <w:r>
              <w:t>187%</w:t>
            </w:r>
          </w:p>
        </w:tc>
        <w:tc>
          <w:tcPr>
            <w:tcW w:type="dxa" w:w="1728"/>
          </w:tcPr>
          <w:p>
            <w:r>
              <w:t>120% minimum</w:t>
            </w:r>
          </w:p>
        </w:tc>
        <w:tc>
          <w:tcPr>
            <w:tcW w:type="dxa" w:w="1584"/>
          </w:tcPr>
          <w:p>
            <w:r>
              <w:t>Compliant</w:t>
            </w:r>
          </w:p>
        </w:tc>
      </w:tr>
      <w:tr>
        <w:tc>
          <w:tcPr>
            <w:tcW w:type="dxa" w:w="3600"/>
          </w:tcPr>
          <w:p>
            <w:r>
              <w:t>Counterparty Exposure (top 5)</w:t>
            </w:r>
          </w:p>
        </w:tc>
        <w:tc>
          <w:tcPr>
            <w:tcW w:type="dxa" w:w="1728"/>
          </w:tcPr>
          <w:p>
            <w:r>
              <w:t>£38m</w:t>
            </w:r>
          </w:p>
        </w:tc>
        <w:tc>
          <w:tcPr>
            <w:tcW w:type="dxa" w:w="1728"/>
          </w:tcPr>
          <w:p>
            <w:r>
              <w:t>£50m</w:t>
            </w:r>
          </w:p>
        </w:tc>
        <w:tc>
          <w:tcPr>
            <w:tcW w:type="dxa" w:w="1584"/>
          </w:tcPr>
          <w:p>
            <w:r>
              <w:t>Within limit</w:t>
            </w:r>
          </w:p>
        </w:tc>
      </w:tr>
      <w:tr>
        <w:tc>
          <w:tcPr>
            <w:tcW w:type="dxa" w:w="3600"/>
          </w:tcPr>
          <w:p>
            <w:r>
              <w:t>Leverage Ratio</w:t>
            </w:r>
          </w:p>
        </w:tc>
        <w:tc>
          <w:tcPr>
            <w:tcW w:type="dxa" w:w="1728"/>
          </w:tcPr>
          <w:p>
            <w:r>
              <w:t>1.8x</w:t>
            </w:r>
          </w:p>
        </w:tc>
        <w:tc>
          <w:tcPr>
            <w:tcW w:type="dxa" w:w="1728"/>
          </w:tcPr>
          <w:p>
            <w:r>
              <w:t>2.5x maximum</w:t>
            </w:r>
          </w:p>
        </w:tc>
        <w:tc>
          <w:tcPr>
            <w:tcW w:type="dxa" w:w="1584"/>
          </w:tcPr>
          <w:p>
            <w:r>
              <w:t>Within limit</w:t>
            </w:r>
          </w:p>
        </w:tc>
      </w:tr>
    </w:tbl>
    <w:p>
      <w:r>
        <w:rPr>
          <w:b w:val="0"/>
          <w:i w:val="0"/>
        </w:rPr>
        <w:t>Stress testing was conducted under three scenarios: base case, severe but plausible, and tail risk. The most material impact arose in the tail-risk scenario, which modelled a simultaneous 30% equity drawdown and 200bps credit spread widening. In all scenarios the portfolio maintained adequate capital buffers above regulatory minimum requirements.</w:t>
      </w:r>
    </w:p>
    <w:p>
      <w:r>
        <w:rPr>
          <w:b w:val="0"/>
          <w:i/>
        </w:rPr>
        <w:t>Counterparty exposure has been reduced by 18% following the exit of two credit positions identified as having elevated concentration risk in the Q2 review.</w:t>
      </w:r>
    </w:p>
    <w:p>
      <w:pPr>
        <w:pStyle w:val="Heading1"/>
      </w:pPr>
      <w:r>
        <w:t>4. Regulatory Obligations — Q4 Actions Required</w:t>
      </w:r>
    </w:p>
    <w:p>
      <w:r>
        <w:rPr>
          <w:b w:val="0"/>
          <w:i w:val="0"/>
        </w:rPr>
        <w:t>Consumer Duty implementation enters its second phase in Q4 2024. The firm must complete enhanced fair value assessments across all retail-facing products by 30 November 2024 and submit findings to the board. Six products have been identified for repricing review.</w:t>
      </w:r>
    </w:p>
    <w:p>
      <w:pPr>
        <w:pStyle w:val="ListBullet"/>
        <w:ind w:left="360"/>
      </w:pPr>
      <w:r>
        <w:t>Head of Compliance to confirm Q4 Consumer Duty readiness to the board by the October board meeting.</w:t>
      </w:r>
    </w:p>
    <w:p>
      <w:pPr>
        <w:pStyle w:val="ListBullet"/>
        <w:ind w:left="360"/>
      </w:pPr>
      <w:r>
        <w:t>Product review team to submit fair value assessment findings by 15 November.</w:t>
      </w:r>
    </w:p>
    <w:p>
      <w:pPr>
        <w:pStyle w:val="ListBullet"/>
        <w:ind w:left="360"/>
      </w:pPr>
      <w:r>
        <w:t>Operational Resilience: three important business services require additional resilience investment before March 2025.</w:t>
      </w:r>
    </w:p>
    <w:p>
      <w:pPr>
        <w:pStyle w:val="ListBullet"/>
        <w:ind w:left="360"/>
      </w:pPr>
      <w:r>
        <w:t>Technology team to confirm impact tolerance testing schedule for Q4.</w:t>
      </w:r>
    </w:p>
    <w:p>
      <w:pPr>
        <w:pStyle w:val="Heading1"/>
      </w:pPr>
      <w:r>
        <w:t>5. Strategic Initiatives — Board Approval Required</w:t>
      </w:r>
    </w:p>
    <w:p>
      <w:pPr>
        <w:pStyle w:val="Heading2"/>
      </w:pPr>
      <w:r>
        <w:t>5.1 Dublin UCITS Acquisition</w:t>
      </w:r>
    </w:p>
    <w:p>
      <w:r>
        <w:rPr>
          <w:b w:val="0"/>
          <w:i w:val="0"/>
        </w:rPr>
        <w:t>The proposed acquisition of Meridian Fund Services (Dublin) Limited would provide the firm with an EU-domiciled UCITS management company and distribution infrastructure, addressing the post-Brexit barrier to direct EU retail fund distribution. The exclusivity deadline is 15 November 2024. Board sign-off at this meeting is required to proceed.</w:t>
      </w:r>
    </w:p>
    <w:p>
      <w:r>
        <w:rPr>
          <w:b/>
          <w:i w:val="0"/>
        </w:rPr>
        <w:t>Estimated consideration: €14.2m. Legal and advisory fees: €0.8m. Integration costs (18 months): €1.1m.</w:t>
      </w:r>
    </w:p>
    <w:p>
      <w:pPr>
        <w:pStyle w:val="Heading2"/>
      </w:pPr>
      <w:r>
        <w:t>5.2 Portfolio Management System Replacement</w:t>
      </w:r>
    </w:p>
    <w:p>
      <w:r>
        <w:rPr>
          <w:b w:val="0"/>
          <w:i w:val="0"/>
        </w:rPr>
        <w:t>The current system has been in place since 2014 and is approaching end of vendor support. A competitive tender process identified Allvue Systems as the preferred provider. Total investment: £2.3m over 24 months.</w:t>
      </w:r>
    </w:p>
    <w:p>
      <w:pPr>
        <w:pStyle w:val="Heading2"/>
      </w:pPr>
      <w:r>
        <w:t>5.3 Sustainable Infrastructure Fund Launch</w:t>
      </w:r>
    </w:p>
    <w:p>
      <w:r>
        <w:rPr>
          <w:b w:val="0"/>
          <w:i w:val="0"/>
        </w:rPr>
        <w:t>The investment committee proposes a new fund targeting £400m in AUM within 36 months, focused on UK energy transition infrastructure including onshore wind repowering, battery storage, and grid balancing assets. Target return: 9–11% net IRR.</w:t>
      </w:r>
    </w:p>
    <w:p>
      <w:pPr>
        <w:pStyle w:val="Heading1"/>
      </w:pPr>
      <w:r>
        <w:t>6. Q4 Outlook &amp; Investment Committee View</w:t>
      </w:r>
    </w:p>
    <w:p>
      <w:r>
        <w:rPr>
          <w:b w:val="0"/>
          <w:i w:val="0"/>
        </w:rPr>
        <w:t>The macro outlook for Q4 remains cautious. The investment committee has modestly reduced equity beta across the growth portfolios and increased allocation to short-duration gilts. Key risks include a potential Bank of England rate cut ahead of schedule, US election-related market volatility, and further deterioration in commercial real estate valuations. The committee remains constructive on UK infrastructure and selective in credit.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