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Heading1"/>
        <w:jc w:val="center"/>
      </w:pPr>
      <w:r>
        <w:t>AML Compliance Guidance</w:t>
      </w:r>
    </w:p>
    <w:p>
      <w:pPr>
        <w:jc w:val="center"/>
      </w:pPr>
      <w:r>
        <w:rPr>
          <w:i/>
          <w:sz w:val="28"/>
        </w:rPr>
        <w:t>Obligations Under POCA 2002, the MLRs 2017 &amp; SRA AML Standards</w:t>
      </w:r>
    </w:p>
    <w:p/>
    <w:p>
      <w:pPr>
        <w:jc w:val="center"/>
      </w:pPr>
      <w:r>
        <w:rPr>
          <w:b/>
        </w:rPr>
        <w:t>Compliance &amp; Risk</w:t>
      </w:r>
    </w:p>
    <w:p>
      <w:pPr>
        <w:jc w:val="center"/>
      </w:pPr>
      <w:r>
        <w:t>2024 Edition</w:t>
      </w:r>
    </w:p>
    <w:p/>
    <w:p>
      <w:pPr>
        <w:jc w:val="center"/>
      </w:pPr>
      <w:r>
        <w:rPr>
          <w:b/>
          <w:color w:val="C00000"/>
        </w:rPr>
        <w:t>CONFIDENTIAL — FOR INTERNAL USE ONLY</w:t>
      </w:r>
    </w:p>
    <w:p>
      <w:r>
        <w:br w:type="page"/>
      </w:r>
    </w:p>
    <w:p>
      <w:pPr>
        <w:pStyle w:val="Heading1"/>
      </w:pPr>
      <w:r>
        <w:t>Introduction</w:t>
      </w:r>
    </w:p>
    <w:p>
      <w:r>
        <w:rPr>
          <w:b w:val="0"/>
          <w:i w:val="0"/>
        </w:rPr>
        <w:t>This guidance note sets out the anti-money laundering (AML) obligations of the firm and its fee-earners under the Proceeds of Crime Act 2002 (POCA 2002), the Money Laundering, Terrorist Financing and Transfer of Funds (Information on the Payer) Regulations 2017 (MLRs 2017), and the SRA's AML Standards. It is mandatory reading for all fee-earners and must be reviewed annually. Questions should be directed to the Money Laundering Reporting Officer (MLRO).</w:t>
      </w:r>
    </w:p>
    <w:p>
      <w:pPr>
        <w:pStyle w:val="Heading1"/>
      </w:pPr>
      <w:r>
        <w:t>1. The Legal Framework</w:t>
      </w:r>
    </w:p>
    <w:p>
      <w:pPr>
        <w:pStyle w:val="Heading2"/>
      </w:pPr>
      <w:r>
        <w:t>1.1 POCA 2002: The Three Principal Offences</w:t>
      </w:r>
    </w:p>
    <w:p>
      <w:r>
        <w:rPr>
          <w:b w:val="0"/>
          <w:i w:val="0"/>
        </w:rPr>
        <w:t>Three sections of POCA 2002 are directly relevant to solicitors in their daily work:</w:t>
      </w:r>
    </w:p>
    <w:tbl>
      <w:tblPr>
        <w:tblStyle w:val="TableGrid"/>
        <w:tblW w:type="auto" w:w="0"/>
        <w:tblLook w:firstColumn="1" w:firstRow="1" w:lastColumn="0" w:lastRow="0" w:noHBand="0" w:noVBand="1" w:val="04A0"/>
      </w:tblPr>
      <w:tblGrid>
        <w:gridCol w:w="2160"/>
        <w:gridCol w:w="2160"/>
        <w:gridCol w:w="2160"/>
        <w:gridCol w:w="2160"/>
      </w:tblGrid>
      <w:tr>
        <w:tc>
          <w:tcPr>
            <w:tcW w:type="dxa" w:w="1008"/>
            <w:shd w:val="clear" w:color="auto" w:fill="DEEAF1"/>
          </w:tcPr>
          <w:p>
            <w:r>
              <w:rPr>
                <w:b/>
              </w:rPr>
              <w:t>Section</w:t>
            </w:r>
          </w:p>
        </w:tc>
        <w:tc>
          <w:tcPr>
            <w:tcW w:type="dxa" w:w="4032"/>
            <w:shd w:val="clear" w:color="auto" w:fill="DEEAF1"/>
          </w:tcPr>
          <w:p>
            <w:r>
              <w:rPr>
                <w:b/>
              </w:rPr>
              <w:t>Offence</w:t>
            </w:r>
          </w:p>
        </w:tc>
        <w:tc>
          <w:tcPr>
            <w:tcW w:type="dxa" w:w="1872"/>
            <w:shd w:val="clear" w:color="auto" w:fill="DEEAF1"/>
          </w:tcPr>
          <w:p>
            <w:r>
              <w:rPr>
                <w:b/>
              </w:rPr>
              <w:t>Maximum Sentence</w:t>
            </w:r>
          </w:p>
        </w:tc>
        <w:tc>
          <w:tcPr>
            <w:tcW w:type="dxa" w:w="2448"/>
            <w:shd w:val="clear" w:color="auto" w:fill="DEEAF1"/>
          </w:tcPr>
          <w:p>
            <w:r>
              <w:rPr>
                <w:b/>
              </w:rPr>
              <w:t>Applies To</w:t>
            </w:r>
          </w:p>
        </w:tc>
      </w:tr>
      <w:tr>
        <w:tc>
          <w:tcPr>
            <w:tcW w:type="dxa" w:w="1008"/>
          </w:tcPr>
          <w:p>
            <w:r>
              <w:t>s.327</w:t>
            </w:r>
          </w:p>
        </w:tc>
        <w:tc>
          <w:tcPr>
            <w:tcW w:type="dxa" w:w="4032"/>
          </w:tcPr>
          <w:p>
            <w:r>
              <w:t>Concealing, disguising, converting or transferring criminal property</w:t>
            </w:r>
          </w:p>
        </w:tc>
        <w:tc>
          <w:tcPr>
            <w:tcW w:type="dxa" w:w="1872"/>
          </w:tcPr>
          <w:p>
            <w:r>
              <w:t>14 years</w:t>
            </w:r>
          </w:p>
        </w:tc>
        <w:tc>
          <w:tcPr>
            <w:tcW w:type="dxa" w:w="2448"/>
          </w:tcPr>
          <w:p>
            <w:r>
              <w:t>Anyone who handles criminal property</w:t>
            </w:r>
          </w:p>
        </w:tc>
      </w:tr>
      <w:tr>
        <w:tc>
          <w:tcPr>
            <w:tcW w:type="dxa" w:w="1008"/>
          </w:tcPr>
          <w:p>
            <w:r>
              <w:t>s.328</w:t>
            </w:r>
          </w:p>
        </w:tc>
        <w:tc>
          <w:tcPr>
            <w:tcW w:type="dxa" w:w="4032"/>
          </w:tcPr>
          <w:p>
            <w:r>
              <w:t>Becoming concerned in an arrangement that facilitates money laundering</w:t>
            </w:r>
          </w:p>
        </w:tc>
        <w:tc>
          <w:tcPr>
            <w:tcW w:type="dxa" w:w="1872"/>
          </w:tcPr>
          <w:p>
            <w:r>
              <w:t>14 years</w:t>
            </w:r>
          </w:p>
        </w:tc>
        <w:tc>
          <w:tcPr>
            <w:tcW w:type="dxa" w:w="2448"/>
          </w:tcPr>
          <w:p>
            <w:r>
              <w:t>Solicitors acting in transactions</w:t>
            </w:r>
          </w:p>
        </w:tc>
      </w:tr>
      <w:tr>
        <w:tc>
          <w:tcPr>
            <w:tcW w:type="dxa" w:w="1008"/>
          </w:tcPr>
          <w:p>
            <w:r>
              <w:t>s.330</w:t>
            </w:r>
          </w:p>
        </w:tc>
        <w:tc>
          <w:tcPr>
            <w:tcW w:type="dxa" w:w="4032"/>
          </w:tcPr>
          <w:p>
            <w:r>
              <w:t>Failure to disclose knowledge or suspicion of money laundering</w:t>
            </w:r>
          </w:p>
        </w:tc>
        <w:tc>
          <w:tcPr>
            <w:tcW w:type="dxa" w:w="1872"/>
          </w:tcPr>
          <w:p>
            <w:r>
              <w:t>5 years</w:t>
            </w:r>
          </w:p>
        </w:tc>
        <w:tc>
          <w:tcPr>
            <w:tcW w:type="dxa" w:w="2448"/>
          </w:tcPr>
          <w:p>
            <w:r>
              <w:t>Regulated sector — all fee-earners</w:t>
            </w:r>
          </w:p>
        </w:tc>
      </w:tr>
    </w:tbl>
    <w:p>
      <w:r>
        <w:rPr>
          <w:b/>
          <w:i w:val="0"/>
        </w:rPr>
        <w:t>Section 330 is the offence most likely to affect a fee-earner who believes they are acting in good faith. The test is objective: the question is not whether you subjectively formed a suspicion, but whether a reasonable person in your position — with the information available to you — would have done so. Ignorance is not a defence where the signs were present.</w:t>
      </w:r>
    </w:p>
    <w:p>
      <w:pPr>
        <w:pStyle w:val="Heading2"/>
      </w:pPr>
      <w:r>
        <w:t>1.2 The MLRs 2017: Operational Requirements</w:t>
      </w:r>
    </w:p>
    <w:p>
      <w:r>
        <w:rPr>
          <w:b w:val="0"/>
          <w:i w:val="0"/>
        </w:rPr>
        <w:t>The Money Laundering Regulations 2017 impose the following obligations on regulated firms in the legal sector:</w:t>
      </w:r>
    </w:p>
    <w:p>
      <w:pPr>
        <w:pStyle w:val="ListBullet"/>
        <w:ind w:left="360"/>
      </w:pPr>
      <w:r>
        <w:t>Customer due diligence (CDD) on all new clients before work begins.</w:t>
      </w:r>
    </w:p>
    <w:p>
      <w:pPr>
        <w:pStyle w:val="ListBullet"/>
        <w:ind w:left="360"/>
      </w:pPr>
      <w:r>
        <w:t>Enhanced due diligence (EDD) for higher-risk clients, matters, or jurisdictions.</w:t>
      </w:r>
    </w:p>
    <w:p>
      <w:pPr>
        <w:pStyle w:val="ListBullet"/>
        <w:ind w:left="360"/>
      </w:pPr>
      <w:r>
        <w:t>Ongoing monitoring of existing client relationships.</w:t>
      </w:r>
    </w:p>
    <w:p>
      <w:pPr>
        <w:pStyle w:val="ListBullet"/>
        <w:ind w:left="360"/>
      </w:pPr>
      <w:r>
        <w:t>A written firm-wide risk assessment, reviewed annually.</w:t>
      </w:r>
    </w:p>
    <w:p>
      <w:pPr>
        <w:pStyle w:val="ListBullet"/>
        <w:ind w:left="360"/>
      </w:pPr>
      <w:r>
        <w:t>Appointment of a Money Laundering Reporting Officer (MLRO).</w:t>
      </w:r>
    </w:p>
    <w:p>
      <w:pPr>
        <w:pStyle w:val="ListBullet"/>
        <w:ind w:left="360"/>
      </w:pPr>
      <w:r>
        <w:t>Record retention: all CDD documents and SAR records must be kept for five years after the end of the business relationship.</w:t>
      </w:r>
    </w:p>
    <w:p>
      <w:pPr>
        <w:pStyle w:val="ListBullet"/>
        <w:ind w:left="360"/>
      </w:pPr>
      <w:r>
        <w:t>Annual AML training for all relevant staff.</w:t>
      </w:r>
    </w:p>
    <w:p>
      <w:pPr>
        <w:pStyle w:val="Heading1"/>
      </w:pPr>
      <w:r>
        <w:t>2. Customer Due Diligence</w:t>
      </w:r>
    </w:p>
    <w:p>
      <w:pPr>
        <w:pStyle w:val="Heading2"/>
      </w:pPr>
      <w:r>
        <w:t>2.1 When CDD Must Be Applied</w:t>
      </w:r>
    </w:p>
    <w:p>
      <w:r>
        <w:rPr>
          <w:b w:val="0"/>
          <w:i w:val="0"/>
        </w:rPr>
        <w:t>CDD must be completed before you carry out any work on a matter within the regulated sector. For law firms, the regulated sector includes conveyancing, company formation, trust and estate work, and any work involving client account funds. CDD must also be applied when you have doubts about the veracity of information previously provided by an existing client.</w:t>
      </w:r>
    </w:p>
    <w:p>
      <w:pPr>
        <w:pStyle w:val="Heading2"/>
      </w:pPr>
      <w:r>
        <w:t>2.2 Standard CDD</w:t>
      </w:r>
    </w:p>
    <w:p>
      <w:r>
        <w:rPr>
          <w:b w:val="0"/>
          <w:i w:val="0"/>
        </w:rPr>
        <w:t>For individual clients, standard CDD requires:</w:t>
      </w:r>
    </w:p>
    <w:p>
      <w:pPr>
        <w:pStyle w:val="ListBullet"/>
        <w:ind w:left="360"/>
      </w:pPr>
      <w:r>
        <w:t>Government-issued photo ID (passport preferred; driving licence acceptable for lower-risk matters).</w:t>
      </w:r>
    </w:p>
    <w:p>
      <w:pPr>
        <w:pStyle w:val="ListBullet"/>
        <w:ind w:left="360"/>
      </w:pPr>
      <w:r>
        <w:t>Proof of address dated within the last three months (bank statement, utility bill, or council tax letter).</w:t>
      </w:r>
    </w:p>
    <w:p>
      <w:pPr>
        <w:pStyle w:val="ListBullet"/>
        <w:ind w:left="360"/>
      </w:pPr>
      <w:r>
        <w:t>For beneficial owners: if another person benefits from the matter (e.g. a trust beneficiary), their identity must also be verified.</w:t>
      </w:r>
    </w:p>
    <w:p>
      <w:pPr>
        <w:pStyle w:val="Heading2"/>
      </w:pPr>
      <w:r>
        <w:t>2.3 Simplified Due Diligence</w:t>
      </w:r>
    </w:p>
    <w:p>
      <w:r>
        <w:rPr>
          <w:b w:val="0"/>
          <w:i w:val="0"/>
        </w:rPr>
        <w:t>Simplified CDD may apply — and must be documented — where the client is a UK-listed company, a UK regulated financial institution, or a UK public authority. Simplified CDD does not mean no CDD: it means you may rely on publicly available information rather than obtaining original documents.</w:t>
      </w:r>
    </w:p>
    <w:p>
      <w:pPr>
        <w:pStyle w:val="Heading2"/>
      </w:pPr>
      <w:r>
        <w:t>2.4 Enhanced Due Diligence</w:t>
      </w:r>
    </w:p>
    <w:p>
      <w:r>
        <w:rPr>
          <w:b w:val="0"/>
          <w:i w:val="0"/>
        </w:rPr>
        <w:t>EDD is mandatory in the following circumstances:</w:t>
      </w:r>
    </w:p>
    <w:p>
      <w:pPr>
        <w:pStyle w:val="ListBullet"/>
        <w:ind w:left="360"/>
      </w:pPr>
      <w:r>
        <w:t>The client or a beneficial owner is a Politically Exposed Person (PEP) or a close associate of a PEP.</w:t>
      </w:r>
    </w:p>
    <w:p>
      <w:pPr>
        <w:pStyle w:val="ListBullet"/>
        <w:ind w:left="360"/>
      </w:pPr>
      <w:r>
        <w:t>The matter involves a high-risk third country (current FATF grey or black list).</w:t>
      </w:r>
    </w:p>
    <w:p>
      <w:pPr>
        <w:pStyle w:val="ListBullet"/>
        <w:ind w:left="360"/>
      </w:pPr>
      <w:r>
        <w:t>The transaction involves a complex or unusual structure with no apparent commercial rationale.</w:t>
      </w:r>
    </w:p>
    <w:p>
      <w:pPr>
        <w:pStyle w:val="ListBullet"/>
        <w:ind w:left="360"/>
      </w:pPr>
      <w:r>
        <w:t>Standard CDD has raised unresolved questions about the client's identity or the source of funds.</w:t>
      </w:r>
    </w:p>
    <w:p>
      <w:r>
        <w:rPr>
          <w:b w:val="0"/>
          <w:i w:val="0"/>
        </w:rPr>
        <w:t>EDD means: obtaining additional information about the client's background, occupation, and source of wealth; verifying the source of funds for the specific transaction; and obtaining senior management approval before proceeding.</w:t>
      </w:r>
    </w:p>
    <w:p>
      <w:pPr>
        <w:pStyle w:val="Heading1"/>
      </w:pPr>
      <w:r>
        <w:t>3. Red Flags</w:t>
      </w:r>
    </w:p>
    <w:p>
      <w:r>
        <w:rPr>
          <w:b w:val="0"/>
          <w:i w:val="0"/>
        </w:rPr>
        <w:t>Red flags are indicators that additional scrutiny is required before proceeding. They do not prove money laundering. Their presence means you must pause, investigate, document your conclusion, and — if suspicion arises — escalate to the MLRO.</w:t>
      </w:r>
    </w:p>
    <w:p>
      <w:pPr>
        <w:pStyle w:val="Heading2"/>
      </w:pPr>
      <w:r>
        <w:t>3.1 Category 1: Client Behaviour</w:t>
      </w:r>
    </w:p>
    <w:p>
      <w:pPr>
        <w:pStyle w:val="ListBullet"/>
        <w:ind w:left="360"/>
      </w:pPr>
      <w:r>
        <w:t>Reluctance to provide identification or source of funds documentation.</w:t>
      </w:r>
    </w:p>
    <w:p>
      <w:pPr>
        <w:pStyle w:val="ListBullet"/>
        <w:ind w:left="360"/>
      </w:pPr>
      <w:r>
        <w:t>Use of intermediaries or nominees without clear justification.</w:t>
      </w:r>
    </w:p>
    <w:p>
      <w:pPr>
        <w:pStyle w:val="ListBullet"/>
        <w:ind w:left="360"/>
      </w:pPr>
      <w:r>
        <w:t>Unusual urgency or pressure to complete a transaction quickly.</w:t>
      </w:r>
    </w:p>
    <w:p>
      <w:pPr>
        <w:pStyle w:val="ListBullet"/>
        <w:ind w:left="360"/>
      </w:pPr>
      <w:r>
        <w:t>Instructions that do not match the client's disclosed occupation, business profile, or stated purpose.</w:t>
      </w:r>
    </w:p>
    <w:p>
      <w:pPr>
        <w:pStyle w:val="ListBullet"/>
        <w:ind w:left="360"/>
      </w:pPr>
      <w:r>
        <w:t>Unexplained changes of mind about transaction structure, beneficiaries, or destination of funds.</w:t>
      </w:r>
    </w:p>
    <w:p>
      <w:pPr>
        <w:pStyle w:val="Heading2"/>
      </w:pPr>
      <w:r>
        <w:t>3.2 Category 2: Transaction Patterns</w:t>
      </w:r>
    </w:p>
    <w:p>
      <w:pPr>
        <w:pStyle w:val="ListBullet"/>
        <w:ind w:left="360"/>
      </w:pPr>
      <w:r>
        <w:t>Complex ownership or corporate structures with no apparent commercial rationale.</w:t>
      </w:r>
    </w:p>
    <w:p>
      <w:pPr>
        <w:pStyle w:val="ListBullet"/>
        <w:ind w:left="360"/>
      </w:pPr>
      <w:r>
        <w:t>Transactions involving multiple jurisdictions, particularly those with weak AML regimes.</w:t>
      </w:r>
    </w:p>
    <w:p>
      <w:pPr>
        <w:pStyle w:val="ListBullet"/>
        <w:ind w:left="360"/>
      </w:pPr>
      <w:r>
        <w:t>Unusually large cash elements or round-number payments that do not correspond to market values or agreed fees.</w:t>
      </w:r>
    </w:p>
    <w:p>
      <w:pPr>
        <w:pStyle w:val="ListBullet"/>
        <w:ind w:left="360"/>
      </w:pPr>
      <w:r>
        <w:t>Third-party payments where the payer's relationship to the client is unclear.</w:t>
      </w:r>
    </w:p>
    <w:p>
      <w:pPr>
        <w:pStyle w:val="ListBullet"/>
        <w:ind w:left="360"/>
      </w:pPr>
      <w:r>
        <w:t>Transactions that appear to have no clear legitimate purpose.</w:t>
      </w:r>
    </w:p>
    <w:p>
      <w:pPr>
        <w:pStyle w:val="Heading2"/>
      </w:pPr>
      <w:r>
        <w:t>3.3 Category 3: Source of Funds</w:t>
      </w:r>
    </w:p>
    <w:p>
      <w:pPr>
        <w:pStyle w:val="ListBullet"/>
        <w:ind w:left="360"/>
      </w:pPr>
      <w:r>
        <w:t>Client is unable to explain or evidence where the funds come from.</w:t>
      </w:r>
    </w:p>
    <w:p>
      <w:pPr>
        <w:pStyle w:val="ListBullet"/>
        <w:ind w:left="360"/>
      </w:pPr>
      <w:r>
        <w:t>Funds originate from a high-risk jurisdiction (FATF grey or black list).</w:t>
      </w:r>
    </w:p>
    <w:p>
      <w:pPr>
        <w:pStyle w:val="ListBullet"/>
        <w:ind w:left="360"/>
      </w:pPr>
      <w:r>
        <w:t>Recent or unexplained inheritance, gift, or windfall that cannot be independently verified.</w:t>
      </w:r>
    </w:p>
    <w:p>
      <w:pPr>
        <w:pStyle w:val="ListBullet"/>
        <w:ind w:left="360"/>
      </w:pPr>
      <w:r>
        <w:t>Funds routed through multiple accounts or entities before reaching the client.</w:t>
      </w:r>
    </w:p>
    <w:p>
      <w:pPr>
        <w:pStyle w:val="ListBullet"/>
        <w:ind w:left="360"/>
      </w:pPr>
      <w:r>
        <w:t>Discrepancy between the client's apparent means and the value of the transaction.</w:t>
      </w:r>
    </w:p>
    <w:p>
      <w:r>
        <w:rPr>
          <w:b/>
          <w:i w:val="0"/>
        </w:rPr>
        <w:t>The SRA's 2023 AML thematic review found that 40% of inspected firms had inadequate source of funds checks on high-value property transactions. Source of funds is the most common area of enforcement action and the most directly linked to actual money laundering risk in legal practice.</w:t>
      </w:r>
    </w:p>
    <w:p>
      <w:pPr>
        <w:pStyle w:val="Heading1"/>
      </w:pPr>
      <w:r>
        <w:t>4. Suspicious Activity Reports and the Tipping-Off Prohibition</w:t>
      </w:r>
    </w:p>
    <w:p>
      <w:pPr>
        <w:pStyle w:val="Heading2"/>
      </w:pPr>
      <w:r>
        <w:t>4.1 When to Make a SAR</w:t>
      </w:r>
    </w:p>
    <w:p>
      <w:r>
        <w:rPr>
          <w:b w:val="0"/>
          <w:i w:val="0"/>
        </w:rPr>
        <w:t>A Suspicious Activity Report (SAR) must be submitted to the National Crime Agency (NCA) when you know or suspect — or have reasonable grounds to suspect — that a person is engaged in money laundering or terrorist financing. The threshold is objective: if a reasonable solicitor in your position, with the information available to you, would consider money laundering a real possibility, you must make a SAR.</w:t>
      </w:r>
    </w:p>
    <w:p>
      <w:r>
        <w:rPr>
          <w:b w:val="0"/>
          <w:i w:val="0"/>
        </w:rPr>
        <w:t>Before proceeding after suspicion has formed, you must either: (a) submit a SAR and obtain a Defence Against Money Laundering (DAML) consent from the NCA; or (b) allow the moratorium period (seven working days) to elapse without receiving a refusal. Proceeding without one of these two outcomes is a criminal offence.</w:t>
      </w:r>
    </w:p>
    <w:p>
      <w:pPr>
        <w:pStyle w:val="Heading2"/>
      </w:pPr>
      <w:r>
        <w:t>4.2 The Tipping-Off Prohibition</w:t>
      </w:r>
    </w:p>
    <w:p>
      <w:r>
        <w:rPr>
          <w:b/>
          <w:i w:val="0"/>
        </w:rPr>
        <w:t>Section 333A POCA 2002 makes it a criminal offence to disclose to any person that a SAR has been or may be submitted, or to disclose information that is likely to prejudice an investigation. This applies to disclosures to the client, the counterparty, the referrer, and any other third party. The offence carries a maximum two-year prison sentence.</w:t>
      </w:r>
    </w:p>
    <w:p>
      <w:r>
        <w:rPr>
          <w:b w:val="0"/>
          <w:i w:val="0"/>
        </w:rPr>
        <w:t>If a client asks why their matter is delayed, you must say only that the firm is unable to proceed at this time and cannot discuss the matter further. Do not use language that allows the client to infer a SAR is pending. Do not direct them to the MLRO. Do not explain what a SAR is.</w:t>
      </w:r>
    </w:p>
    <w:p>
      <w:pPr>
        <w:pStyle w:val="Heading2"/>
      </w:pPr>
      <w:r>
        <w:t>4.3 The Firm's Escalation Procedure</w:t>
      </w:r>
    </w:p>
    <w:p>
      <w:r>
        <w:rPr>
          <w:b w:val="0"/>
          <w:i w:val="0"/>
        </w:rPr>
        <w:t>If you form a suspicion, follow these steps in order:</w:t>
      </w:r>
    </w:p>
    <w:p>
      <w:pPr>
        <w:pStyle w:val="ListBullet"/>
        <w:ind w:left="360"/>
      </w:pPr>
      <w:r>
        <w:t>1. Stop work on the matter immediately. Do not take any further steps pending MLRO guidance.</w:t>
      </w:r>
    </w:p>
    <w:p>
      <w:pPr>
        <w:pStyle w:val="ListBullet"/>
        <w:ind w:left="360"/>
      </w:pPr>
      <w:r>
        <w:t>2. Do not inform the client, the other side, or the referrer.</w:t>
      </w:r>
    </w:p>
    <w:p>
      <w:pPr>
        <w:pStyle w:val="ListBullet"/>
        <w:ind w:left="360"/>
      </w:pPr>
      <w:r>
        <w:t>3. Contact the MLRO via the designated secure channel. Do not use a shared inbox.</w:t>
      </w:r>
    </w:p>
    <w:p>
      <w:pPr>
        <w:pStyle w:val="ListBullet"/>
        <w:ind w:left="360"/>
      </w:pPr>
      <w:r>
        <w:t>4. Document your suspicion and the facts that gave rise to it in a confidential attendance note. This note must be held by the MLRO — not on the matter file.</w:t>
      </w:r>
    </w:p>
    <w:p>
      <w:pPr>
        <w:pStyle w:val="ListBullet"/>
        <w:ind w:left="360"/>
      </w:pPr>
      <w:r>
        <w:t>5. Await MLRO instruction before taking any further steps on the matter.</w:t>
      </w:r>
    </w:p>
    <w:p>
      <w:r>
        <w:rPr>
          <w:b w:val="0"/>
          <w:i/>
        </w:rPr>
        <w:t>This procedure applies regardless of the seniority of the client, the size of the fee, or instructions from a partner or supervisor. There are no exceptions.</w:t>
      </w:r>
    </w:p>
    <w:p>
      <w:pPr>
        <w:pStyle w:val="Heading1"/>
      </w:pPr>
      <w:r>
        <w:t>5. Record Keeping and Training Requirements</w:t>
      </w:r>
    </w:p>
    <w:p>
      <w:r>
        <w:rPr>
          <w:b w:val="0"/>
          <w:i w:val="0"/>
        </w:rPr>
        <w:t>All CDD documentation must be retained for five years from the end of the business relationship. SAR records and supporting documentation must be retained for five years from the date of submission. Records must be available for production to the SRA or NCA on request within 24 hours.</w:t>
      </w:r>
    </w:p>
    <w:p>
      <w:r>
        <w:rPr>
          <w:b w:val="0"/>
          <w:i w:val="0"/>
        </w:rPr>
        <w:t>All fee-earners must complete the firm's AML training annually. Completion is recorded automatically and is available for SRA inspection. Non-completion by the stated deadline will be reported to the Head of Compliance.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